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headerReference w:type="default" r:id="rId5"/>
          <w:headerReference w:type="even" r:id="rId6"/>
          <w:type w:val="continuous"/>
          <w:pgSz w:w="12240" w:h="15840"/>
          <w:pgMar w:header="1824" w:top="2080" w:bottom="280" w:left="1720" w:right="1720"/>
          <w:pgNumType w:start="1063"/>
        </w:sectPr>
      </w:pPr>
    </w:p>
    <w:p>
      <w:pPr>
        <w:pStyle w:val="Heading1"/>
        <w:spacing w:line="216" w:lineRule="auto" w:before="122"/>
        <w:ind w:left="500"/>
      </w:pPr>
      <w:r>
        <w:rPr/>
        <w:t>Public Law 116–222 116th Congress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482" w:right="0" w:firstLine="0"/>
        <w:jc w:val="left"/>
        <w:rPr>
          <w:sz w:val="24"/>
        </w:rPr>
      </w:pPr>
      <w:r>
        <w:rPr>
          <w:sz w:val="24"/>
        </w:rPr>
        <w:t>An Act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2080" w:bottom="280" w:left="1720" w:right="1720"/>
          <w:cols w:num="2" w:equalWidth="0">
            <w:col w:w="2772" w:space="40"/>
            <w:col w:w="5988"/>
          </w:cols>
        </w:sectPr>
      </w:pPr>
    </w:p>
    <w:p>
      <w:pPr>
        <w:spacing w:line="225" w:lineRule="auto" w:before="120"/>
        <w:ind w:left="660" w:right="0" w:hanging="160"/>
        <w:jc w:val="both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598262</wp:posOffset>
            </wp:positionH>
            <wp:positionV relativeFrom="page">
              <wp:posOffset>59114</wp:posOffset>
            </wp:positionV>
            <wp:extent cx="791369" cy="38828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369" cy="38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To amend the Sarbanes-Oxley  Act  of  2002  to  require  certain  issuers  to  disclose to the Securities and Exchange Commission information regarding foreign jurisdic- tions that prevent the Public Company Accounting Oversight Board from </w:t>
      </w:r>
      <w:r>
        <w:rPr>
          <w:spacing w:val="-3"/>
          <w:sz w:val="16"/>
        </w:rPr>
        <w:t>per- </w:t>
      </w:r>
      <w:r>
        <w:rPr>
          <w:sz w:val="16"/>
        </w:rPr>
        <w:t>forming inspections under that Act, and for other</w:t>
      </w:r>
      <w:r>
        <w:rPr>
          <w:spacing w:val="-8"/>
          <w:sz w:val="16"/>
        </w:rPr>
        <w:t> </w:t>
      </w:r>
      <w:r>
        <w:rPr>
          <w:sz w:val="16"/>
        </w:rPr>
        <w:t>purposes.</w:t>
      </w:r>
    </w:p>
    <w:p>
      <w:pPr>
        <w:spacing w:line="199" w:lineRule="auto" w:before="161"/>
        <w:ind w:left="500" w:right="0" w:firstLine="400"/>
        <w:jc w:val="left"/>
        <w:rPr>
          <w:rFonts w:ascii="Century Schoolbook"/>
          <w:i/>
          <w:sz w:val="20"/>
        </w:rPr>
      </w:pPr>
      <w:r>
        <w:rPr>
          <w:rFonts w:ascii="Century Schoolbook"/>
          <w:i/>
          <w:sz w:val="20"/>
        </w:rPr>
        <w:t>Be it enacted by the Senate  and  House  of  Representatives  of </w:t>
      </w:r>
      <w:r>
        <w:rPr>
          <w:rFonts w:ascii="Century Schoolbook"/>
          <w:i/>
          <w:sz w:val="20"/>
        </w:rPr>
        <w:t>the United States of America in Congress assembled,</w:t>
      </w:r>
    </w:p>
    <w:p>
      <w:pPr>
        <w:spacing w:before="127"/>
        <w:ind w:left="500" w:right="0" w:firstLine="0"/>
        <w:jc w:val="left"/>
        <w:rPr>
          <w:rFonts w:ascii="Century Schoolbook"/>
          <w:b/>
          <w:sz w:val="16"/>
        </w:rPr>
      </w:pPr>
      <w:r>
        <w:rPr>
          <w:rFonts w:ascii="Century Schoolbook"/>
          <w:b/>
          <w:sz w:val="16"/>
        </w:rPr>
        <w:t>SECTION 1. SHORT TITLE.</w:t>
      </w:r>
    </w:p>
    <w:p>
      <w:pPr>
        <w:pStyle w:val="BodyText"/>
        <w:spacing w:line="199" w:lineRule="auto" w:before="82"/>
        <w:ind w:left="500" w:firstLine="400"/>
      </w:pPr>
      <w:r>
        <w:rPr/>
        <w:t>This Act may be cited as the ‘‘Holding Foreign Companies Accountable Act’’.</w:t>
      </w:r>
    </w:p>
    <w:p>
      <w:pPr>
        <w:spacing w:before="127"/>
        <w:ind w:left="500" w:right="0" w:firstLine="0"/>
        <w:jc w:val="left"/>
        <w:rPr>
          <w:rFonts w:ascii="Century Schoolbook"/>
          <w:b/>
          <w:sz w:val="16"/>
        </w:rPr>
      </w:pPr>
      <w:r>
        <w:rPr>
          <w:rFonts w:ascii="Century Schoolbook"/>
          <w:b/>
          <w:sz w:val="16"/>
        </w:rPr>
        <w:t>SEC. 2. DISCLOSURE REQUIREMENT.</w:t>
      </w:r>
    </w:p>
    <w:p>
      <w:pPr>
        <w:pStyle w:val="BodyText"/>
        <w:spacing w:line="199" w:lineRule="auto" w:before="82"/>
        <w:ind w:left="500" w:right="6" w:firstLine="400"/>
      </w:pPr>
      <w:r>
        <w:rPr/>
        <w:t>Section 104 of the Sarbanes-Oxley Act of 2002 (15 U.S.C. </w:t>
      </w:r>
      <w:r>
        <w:rPr>
          <w:spacing w:val="-4"/>
        </w:rPr>
        <w:t>7214) </w:t>
      </w:r>
      <w:r>
        <w:rPr/>
        <w:t>is amended by adding at the end the</w:t>
      </w:r>
      <w:r>
        <w:rPr>
          <w:spacing w:val="-9"/>
        </w:rPr>
        <w:t> </w:t>
      </w:r>
      <w:r>
        <w:rPr/>
        <w:t>following:</w:t>
      </w:r>
    </w:p>
    <w:p>
      <w:pPr>
        <w:spacing w:line="188" w:lineRule="exact" w:before="0"/>
        <w:ind w:left="900" w:right="0" w:firstLine="0"/>
        <w:jc w:val="left"/>
        <w:rPr>
          <w:sz w:val="20"/>
        </w:rPr>
      </w:pPr>
      <w:r>
        <w:rPr>
          <w:w w:val="105"/>
          <w:sz w:val="20"/>
        </w:rPr>
        <w:t>‘‘(i) D</w:t>
      </w:r>
      <w:r>
        <w:rPr>
          <w:w w:val="105"/>
          <w:sz w:val="15"/>
        </w:rPr>
        <w:t>ISCLOSURE </w:t>
      </w:r>
      <w:r>
        <w:rPr>
          <w:w w:val="105"/>
          <w:sz w:val="20"/>
        </w:rPr>
        <w:t>R</w:t>
      </w:r>
      <w:r>
        <w:rPr>
          <w:w w:val="105"/>
          <w:sz w:val="15"/>
        </w:rPr>
        <w:t>EGARDING </w:t>
      </w:r>
      <w:r>
        <w:rPr>
          <w:w w:val="105"/>
          <w:sz w:val="20"/>
        </w:rPr>
        <w:t>F</w:t>
      </w:r>
      <w:r>
        <w:rPr>
          <w:w w:val="105"/>
          <w:sz w:val="15"/>
        </w:rPr>
        <w:t>OREIGN </w:t>
      </w:r>
      <w:r>
        <w:rPr>
          <w:w w:val="105"/>
          <w:sz w:val="20"/>
        </w:rPr>
        <w:t>J</w:t>
      </w:r>
      <w:r>
        <w:rPr>
          <w:w w:val="105"/>
          <w:sz w:val="15"/>
        </w:rPr>
        <w:t>URISDICTIONS </w:t>
      </w:r>
      <w:r>
        <w:rPr>
          <w:w w:val="105"/>
          <w:sz w:val="20"/>
        </w:rPr>
        <w:t>T</w:t>
      </w:r>
      <w:r>
        <w:rPr>
          <w:w w:val="105"/>
          <w:sz w:val="15"/>
        </w:rPr>
        <w:t>HAT </w:t>
      </w:r>
      <w:r>
        <w:rPr>
          <w:w w:val="105"/>
          <w:sz w:val="20"/>
        </w:rPr>
        <w:t>P</w:t>
      </w:r>
      <w:r>
        <w:rPr>
          <w:w w:val="105"/>
          <w:sz w:val="15"/>
        </w:rPr>
        <w:t>RE</w:t>
      </w:r>
      <w:r>
        <w:rPr>
          <w:w w:val="105"/>
          <w:sz w:val="20"/>
        </w:rPr>
        <w:t>-</w:t>
      </w:r>
    </w:p>
    <w:p>
      <w:pPr>
        <w:spacing w:line="200" w:lineRule="exact" w:before="0"/>
        <w:ind w:left="500" w:right="0" w:firstLine="0"/>
        <w:jc w:val="left"/>
        <w:rPr>
          <w:sz w:val="20"/>
        </w:rPr>
      </w:pPr>
      <w:r>
        <w:rPr>
          <w:w w:val="105"/>
          <w:sz w:val="15"/>
        </w:rPr>
        <w:t>VENT </w:t>
      </w:r>
      <w:r>
        <w:rPr>
          <w:w w:val="105"/>
          <w:sz w:val="20"/>
        </w:rPr>
        <w:t>I</w:t>
      </w:r>
      <w:r>
        <w:rPr>
          <w:w w:val="105"/>
          <w:sz w:val="15"/>
        </w:rPr>
        <w:t>NSPECTIONS</w:t>
      </w:r>
      <w:r>
        <w:rPr>
          <w:w w:val="105"/>
          <w:sz w:val="20"/>
        </w:rPr>
        <w:t>.—</w:t>
      </w:r>
    </w:p>
    <w:p>
      <w:pPr>
        <w:pStyle w:val="BodyText"/>
        <w:spacing w:line="200" w:lineRule="exact"/>
        <w:ind w:left="1299"/>
      </w:pPr>
      <w:r>
        <w:rPr/>
        <w:t>‘‘(1) D</w:t>
      </w:r>
      <w:r>
        <w:rPr>
          <w:vertAlign w:val="subscript"/>
        </w:rPr>
        <w:t>EFINITIONS</w:t>
      </w:r>
      <w:r>
        <w:rPr>
          <w:vertAlign w:val="baseline"/>
        </w:rPr>
        <w:t>.—In this subsection—</w:t>
      </w:r>
    </w:p>
    <w:p>
      <w:pPr>
        <w:pStyle w:val="BodyText"/>
        <w:spacing w:line="199" w:lineRule="auto" w:before="13"/>
        <w:ind w:left="1299" w:firstLine="400"/>
        <w:jc w:val="both"/>
      </w:pPr>
      <w:r>
        <w:rPr/>
        <w:t>‘‘(A) the term  ‘covered  issuer’  means  an  issuer  </w:t>
      </w:r>
      <w:r>
        <w:rPr>
          <w:spacing w:val="-5"/>
        </w:rPr>
        <w:t>that </w:t>
      </w:r>
      <w:r>
        <w:rPr/>
        <w:t>is required to file reports  under  section  13  or  15(d)  of  the Securities Exchange Act of 1934 (15 U.S.C. </w:t>
      </w:r>
      <w:r>
        <w:rPr>
          <w:spacing w:val="-5"/>
        </w:rPr>
        <w:t>78m,  </w:t>
      </w:r>
      <w:r>
        <w:rPr/>
        <w:t>78o(d));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line="199" w:lineRule="auto" w:before="2"/>
        <w:ind w:left="1299" w:firstLine="400"/>
        <w:jc w:val="both"/>
      </w:pPr>
      <w:r>
        <w:rPr/>
        <w:t>‘‘(B) the term ‘non-inspection year’ means, with respect to a covered issuer, a year—</w:t>
      </w:r>
    </w:p>
    <w:p>
      <w:pPr>
        <w:pStyle w:val="BodyText"/>
        <w:spacing w:line="199" w:lineRule="auto" w:before="1"/>
        <w:ind w:left="1699" w:right="1" w:firstLine="400"/>
        <w:jc w:val="both"/>
      </w:pPr>
      <w:r>
        <w:rPr/>
        <w:t>‘‘(i) during which the Commission identifies </w:t>
      </w:r>
      <w:r>
        <w:rPr>
          <w:spacing w:val="-6"/>
        </w:rPr>
        <w:t>the </w:t>
      </w:r>
      <w:r>
        <w:rPr/>
        <w:t>covered issuer under  paragraph  (2)(A)  with  </w:t>
      </w:r>
      <w:r>
        <w:rPr>
          <w:spacing w:val="-3"/>
        </w:rPr>
        <w:t>respect  </w:t>
      </w:r>
      <w:r>
        <w:rPr/>
        <w:t>to every report described  in  subparagraph  (A)  </w:t>
      </w:r>
      <w:r>
        <w:rPr>
          <w:spacing w:val="-3"/>
        </w:rPr>
        <w:t>filed  </w:t>
      </w:r>
      <w:r>
        <w:rPr/>
        <w:t>by the covered issuer during that year;</w:t>
      </w:r>
      <w:r>
        <w:rPr>
          <w:spacing w:val="-7"/>
        </w:rPr>
        <w:t> </w:t>
      </w:r>
      <w:r>
        <w:rPr/>
        <w:t>and</w:t>
      </w:r>
    </w:p>
    <w:p>
      <w:pPr>
        <w:pStyle w:val="BodyText"/>
        <w:spacing w:line="199" w:lineRule="auto" w:before="1"/>
        <w:ind w:left="1699" w:right="1" w:firstLine="400"/>
        <w:jc w:val="both"/>
      </w:pPr>
      <w:r>
        <w:rPr/>
        <w:t>‘‘(ii) that begins after the date of  enactment  </w:t>
      </w:r>
      <w:r>
        <w:rPr>
          <w:spacing w:val="-7"/>
        </w:rPr>
        <w:t>of  </w:t>
      </w:r>
      <w:r>
        <w:rPr/>
        <w:t>this</w:t>
      </w:r>
      <w:r>
        <w:rPr>
          <w:spacing w:val="-1"/>
        </w:rPr>
        <w:t> </w:t>
      </w:r>
      <w:r>
        <w:rPr/>
        <w:t>subsection.</w:t>
      </w:r>
    </w:p>
    <w:p>
      <w:pPr>
        <w:pStyle w:val="BodyText"/>
        <w:spacing w:line="199" w:lineRule="auto" w:before="1"/>
        <w:ind w:left="1699" w:right="1" w:hanging="400"/>
        <w:jc w:val="both"/>
      </w:pPr>
      <w:r>
        <w:rPr/>
        <w:t>‘‘(2) D</w:t>
      </w:r>
      <w:r>
        <w:rPr>
          <w:vertAlign w:val="subscript"/>
        </w:rPr>
        <w:t>ISCLOSURE</w:t>
      </w:r>
      <w:r>
        <w:rPr>
          <w:vertAlign w:val="baseline"/>
        </w:rPr>
        <w:t> </w:t>
      </w:r>
      <w:r>
        <w:rPr>
          <w:vertAlign w:val="subscript"/>
        </w:rPr>
        <w:t>TO</w:t>
      </w:r>
      <w:r>
        <w:rPr>
          <w:vertAlign w:val="baseline"/>
        </w:rPr>
        <w:t> </w:t>
      </w:r>
      <w:r>
        <w:rPr>
          <w:vertAlign w:val="subscript"/>
        </w:rPr>
        <w:t>COMMISSION</w:t>
      </w:r>
      <w:r>
        <w:rPr>
          <w:vertAlign w:val="baseline"/>
        </w:rPr>
        <w:t>.—The  Commission  shall— ‘‘(A)</w:t>
      </w:r>
      <w:r>
        <w:rPr>
          <w:spacing w:val="14"/>
          <w:vertAlign w:val="baseline"/>
        </w:rPr>
        <w:t> </w:t>
      </w:r>
      <w:r>
        <w:rPr>
          <w:vertAlign w:val="baseline"/>
        </w:rPr>
        <w:t>identify</w:t>
      </w:r>
      <w:r>
        <w:rPr>
          <w:spacing w:val="15"/>
          <w:vertAlign w:val="baseline"/>
        </w:rPr>
        <w:t> </w:t>
      </w:r>
      <w:r>
        <w:rPr>
          <w:vertAlign w:val="baseline"/>
        </w:rPr>
        <w:t>each</w:t>
      </w:r>
      <w:r>
        <w:rPr>
          <w:spacing w:val="15"/>
          <w:vertAlign w:val="baseline"/>
        </w:rPr>
        <w:t> </w:t>
      </w:r>
      <w:r>
        <w:rPr>
          <w:vertAlign w:val="baseline"/>
        </w:rPr>
        <w:t>covered</w:t>
      </w:r>
      <w:r>
        <w:rPr>
          <w:spacing w:val="15"/>
          <w:vertAlign w:val="baseline"/>
        </w:rPr>
        <w:t> </w:t>
      </w:r>
      <w:r>
        <w:rPr>
          <w:vertAlign w:val="baseline"/>
        </w:rPr>
        <w:t>issuer</w:t>
      </w:r>
      <w:r>
        <w:rPr>
          <w:spacing w:val="14"/>
          <w:vertAlign w:val="baseline"/>
        </w:rPr>
        <w:t> </w:t>
      </w:r>
      <w:r>
        <w:rPr>
          <w:vertAlign w:val="baseline"/>
        </w:rPr>
        <w:t>that,</w:t>
      </w:r>
      <w:r>
        <w:rPr>
          <w:spacing w:val="15"/>
          <w:vertAlign w:val="baseline"/>
        </w:rPr>
        <w:t> </w:t>
      </w:r>
      <w:r>
        <w:rPr>
          <w:vertAlign w:val="baseline"/>
        </w:rPr>
        <w:t>with</w:t>
      </w:r>
      <w:r>
        <w:rPr>
          <w:spacing w:val="15"/>
          <w:vertAlign w:val="baseline"/>
        </w:rPr>
        <w:t> </w:t>
      </w:r>
      <w:r>
        <w:rPr>
          <w:spacing w:val="-3"/>
          <w:vertAlign w:val="baseline"/>
        </w:rPr>
        <w:t>respect</w:t>
      </w:r>
    </w:p>
    <w:p>
      <w:pPr>
        <w:pStyle w:val="BodyText"/>
        <w:spacing w:line="199" w:lineRule="auto" w:before="1"/>
        <w:ind w:left="1299" w:right="1"/>
        <w:jc w:val="both"/>
      </w:pPr>
      <w:r>
        <w:rPr/>
        <w:t>to the preparation of the audit report on the financial statement of the covered issuer that is included in a report described in paragraph (1)(A) filed by the covered issuer, retains a registered public accounting firm that has a branch or office that—</w:t>
      </w:r>
    </w:p>
    <w:p>
      <w:pPr>
        <w:pStyle w:val="BodyText"/>
        <w:spacing w:line="189" w:lineRule="exact"/>
        <w:ind w:left="2099"/>
        <w:jc w:val="both"/>
      </w:pPr>
      <w:r>
        <w:rPr/>
        <w:t>‘‘(i) is located in a foreign jurisdiction; and</w:t>
      </w:r>
    </w:p>
    <w:p>
      <w:pPr>
        <w:pStyle w:val="BodyText"/>
        <w:spacing w:line="199" w:lineRule="auto" w:before="13"/>
        <w:ind w:left="1699" w:firstLine="400"/>
        <w:jc w:val="both"/>
      </w:pPr>
      <w:r>
        <w:rPr/>
        <w:t>‘‘(ii) the Board is unable to inspect or investigate completely because of a position taken by an authority in the foreign jurisdiction described in clause (i), as determined by the Board; and</w:t>
      </w:r>
    </w:p>
    <w:p>
      <w:pPr>
        <w:pStyle w:val="BodyText"/>
        <w:spacing w:line="199" w:lineRule="auto" w:before="2"/>
        <w:ind w:left="1299" w:right="1" w:firstLine="400"/>
        <w:jc w:val="both"/>
      </w:pPr>
      <w:r>
        <w:rPr/>
        <w:t>‘‘(B) require each covered issuer identified </w:t>
      </w:r>
      <w:r>
        <w:rPr>
          <w:spacing w:val="-4"/>
        </w:rPr>
        <w:t>under </w:t>
      </w:r>
      <w:r>
        <w:rPr/>
        <w:t>subparagraph (A) to, in accordance with the rules </w:t>
      </w:r>
      <w:r>
        <w:rPr>
          <w:spacing w:val="-3"/>
        </w:rPr>
        <w:t>issued  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Commission</w:t>
      </w:r>
      <w:r>
        <w:rPr>
          <w:spacing w:val="9"/>
        </w:rPr>
        <w:t> </w:t>
      </w:r>
      <w:r>
        <w:rPr/>
        <w:t>under</w:t>
      </w:r>
      <w:r>
        <w:rPr>
          <w:spacing w:val="10"/>
        </w:rPr>
        <w:t> </w:t>
      </w:r>
      <w:r>
        <w:rPr/>
        <w:t>paragraph</w:t>
      </w:r>
      <w:r>
        <w:rPr>
          <w:spacing w:val="9"/>
        </w:rPr>
        <w:t> </w:t>
      </w:r>
      <w:r>
        <w:rPr/>
        <w:t>(4),</w:t>
      </w:r>
      <w:r>
        <w:rPr>
          <w:spacing w:val="9"/>
        </w:rPr>
        <w:t> </w:t>
      </w:r>
      <w:r>
        <w:rPr/>
        <w:t>submit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5"/>
        </w:rPr>
        <w:t>the</w:t>
      </w:r>
    </w:p>
    <w:p>
      <w:pPr>
        <w:pStyle w:val="BodyText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265" w:right="604" w:firstLine="0"/>
        <w:jc w:val="center"/>
        <w:rPr>
          <w:sz w:val="16"/>
        </w:rPr>
      </w:pPr>
      <w:r>
        <w:rPr>
          <w:sz w:val="16"/>
        </w:rPr>
        <w:t>Dec. 18, 2020</w:t>
      </w:r>
    </w:p>
    <w:p>
      <w:pPr>
        <w:pStyle w:val="BodyText"/>
        <w:spacing w:before="1"/>
        <w:rPr>
          <w:sz w:val="2"/>
        </w:rPr>
      </w:pPr>
    </w:p>
    <w:p>
      <w:pPr>
        <w:pStyle w:val="BodyText"/>
        <w:spacing w:line="20" w:lineRule="exact"/>
        <w:ind w:left="154"/>
        <w:rPr>
          <w:sz w:val="2"/>
        </w:rPr>
      </w:pPr>
      <w:r>
        <w:rPr>
          <w:sz w:val="2"/>
        </w:rPr>
        <w:pict>
          <v:group style="width:62pt;height:.4pt;mso-position-horizontal-relative:char;mso-position-vertical-relative:line" coordorigin="0,0" coordsize="1240,8">
            <v:line style="position:absolute" from="0,4" to="1240,4" stroked="true" strokeweight=".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265" w:right="604" w:firstLine="0"/>
        <w:jc w:val="center"/>
        <w:rPr>
          <w:sz w:val="16"/>
        </w:rPr>
      </w:pPr>
      <w:r>
        <w:rPr>
          <w:sz w:val="16"/>
        </w:rPr>
        <w:t>[S.</w:t>
      </w:r>
      <w:r>
        <w:rPr>
          <w:spacing w:val="-25"/>
          <w:sz w:val="16"/>
        </w:rPr>
        <w:t> </w:t>
      </w:r>
      <w:r>
        <w:rPr>
          <w:sz w:val="16"/>
        </w:rPr>
        <w:t>945]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4"/>
        </w:rPr>
      </w:pPr>
    </w:p>
    <w:p>
      <w:pPr>
        <w:spacing w:line="199" w:lineRule="auto" w:before="0"/>
        <w:ind w:left="158" w:right="556" w:firstLine="0"/>
        <w:jc w:val="left"/>
        <w:rPr>
          <w:sz w:val="16"/>
        </w:rPr>
      </w:pPr>
      <w:r>
        <w:rPr>
          <w:w w:val="95"/>
          <w:sz w:val="16"/>
        </w:rPr>
        <w:t>Holding Foreign </w:t>
      </w:r>
      <w:r>
        <w:rPr>
          <w:sz w:val="16"/>
        </w:rPr>
        <w:t>Companies </w:t>
      </w:r>
      <w:r>
        <w:rPr>
          <w:w w:val="95"/>
          <w:sz w:val="16"/>
        </w:rPr>
        <w:t>Accountable </w:t>
      </w:r>
      <w:r>
        <w:rPr>
          <w:spacing w:val="-4"/>
          <w:w w:val="95"/>
          <w:sz w:val="16"/>
        </w:rPr>
        <w:t>Act. </w:t>
      </w:r>
      <w:r>
        <w:rPr>
          <w:sz w:val="16"/>
        </w:rPr>
        <w:t>15 USC</w:t>
      </w:r>
      <w:r>
        <w:rPr>
          <w:spacing w:val="-16"/>
          <w:sz w:val="16"/>
        </w:rPr>
        <w:t> </w:t>
      </w:r>
      <w:r>
        <w:rPr>
          <w:sz w:val="16"/>
        </w:rPr>
        <w:t>7201</w:t>
      </w:r>
    </w:p>
    <w:p>
      <w:pPr>
        <w:spacing w:line="167" w:lineRule="exact" w:before="0"/>
        <w:ind w:left="158" w:right="0" w:firstLine="0"/>
        <w:jc w:val="left"/>
        <w:rPr>
          <w:sz w:val="16"/>
        </w:rPr>
      </w:pPr>
      <w:r>
        <w:rPr>
          <w:sz w:val="16"/>
        </w:rPr>
        <w:t>note.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1"/>
        <w:ind w:left="158" w:right="0" w:firstLine="0"/>
        <w:jc w:val="left"/>
        <w:rPr>
          <w:sz w:val="16"/>
        </w:rPr>
      </w:pPr>
      <w:r>
        <w:rPr>
          <w:sz w:val="16"/>
        </w:rPr>
        <w:t>Records.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2080" w:bottom="280" w:left="1720" w:right="1720"/>
          <w:cols w:num="2" w:equalWidth="0">
            <w:col w:w="6862" w:space="40"/>
            <w:col w:w="1898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1824" w:footer="0" w:top="2080" w:bottom="280" w:left="1720" w:right="172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6"/>
        </w:rPr>
      </w:pPr>
    </w:p>
    <w:p>
      <w:pPr>
        <w:spacing w:line="199" w:lineRule="auto" w:before="1"/>
        <w:ind w:left="500" w:right="0" w:firstLine="0"/>
        <w:jc w:val="left"/>
        <w:rPr>
          <w:sz w:val="16"/>
        </w:rPr>
      </w:pPr>
      <w:r>
        <w:rPr>
          <w:w w:val="90"/>
          <w:sz w:val="16"/>
        </w:rPr>
        <w:t>Determinations. </w:t>
      </w:r>
      <w:r>
        <w:rPr>
          <w:sz w:val="16"/>
        </w:rPr>
        <w:t>Certifications.</w:t>
      </w:r>
    </w:p>
    <w:p>
      <w:pPr>
        <w:pStyle w:val="BodyText"/>
        <w:spacing w:line="199" w:lineRule="auto" w:before="132"/>
        <w:ind w:left="900" w:right="496"/>
        <w:jc w:val="both"/>
      </w:pPr>
      <w:r>
        <w:rPr/>
        <w:br w:type="column"/>
      </w:r>
      <w:r>
        <w:rPr/>
        <w:t>Commission documentation that establishes that the cov- ered issuer is not owned or controlled by a governmental entity in the foreign jurisdiction described in subparagraph (A)(i).</w:t>
      </w:r>
    </w:p>
    <w:p>
      <w:pPr>
        <w:spacing w:line="199" w:lineRule="auto" w:before="2"/>
        <w:ind w:left="500" w:right="128" w:firstLine="400"/>
        <w:jc w:val="left"/>
        <w:rPr>
          <w:sz w:val="20"/>
        </w:rPr>
      </w:pPr>
      <w:r>
        <w:rPr>
          <w:w w:val="105"/>
          <w:sz w:val="20"/>
        </w:rPr>
        <w:t>‘‘(3) T</w:t>
      </w:r>
      <w:r>
        <w:rPr>
          <w:w w:val="105"/>
          <w:sz w:val="15"/>
        </w:rPr>
        <w:t>RADING PROHIBITION AFTER 3 YEARS OF NON</w:t>
      </w:r>
      <w:r>
        <w:rPr>
          <w:w w:val="105"/>
          <w:sz w:val="20"/>
        </w:rPr>
        <w:t>-</w:t>
      </w:r>
      <w:r>
        <w:rPr>
          <w:w w:val="105"/>
          <w:sz w:val="15"/>
        </w:rPr>
        <w:t>INSPEC</w:t>
      </w:r>
      <w:r>
        <w:rPr>
          <w:w w:val="105"/>
          <w:sz w:val="20"/>
        </w:rPr>
        <w:t>- </w:t>
      </w:r>
      <w:r>
        <w:rPr>
          <w:w w:val="105"/>
          <w:sz w:val="15"/>
        </w:rPr>
        <w:t>TIONS</w:t>
      </w:r>
      <w:r>
        <w:rPr>
          <w:w w:val="105"/>
          <w:sz w:val="20"/>
        </w:rPr>
        <w:t>.—</w:t>
      </w:r>
    </w:p>
    <w:p>
      <w:pPr>
        <w:spacing w:after="0" w:line="199" w:lineRule="auto"/>
        <w:jc w:val="left"/>
        <w:rPr>
          <w:sz w:val="20"/>
        </w:rPr>
        <w:sectPr>
          <w:type w:val="continuous"/>
          <w:pgSz w:w="12240" w:h="15840"/>
          <w:pgMar w:top="2080" w:bottom="280" w:left="1720" w:right="1720"/>
          <w:cols w:num="2" w:equalWidth="0">
            <w:col w:w="1671" w:space="169"/>
            <w:col w:w="6960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5"/>
        </w:rPr>
      </w:pPr>
    </w:p>
    <w:p>
      <w:pPr>
        <w:spacing w:before="1"/>
        <w:ind w:left="500" w:right="0" w:firstLine="0"/>
        <w:jc w:val="left"/>
        <w:rPr>
          <w:sz w:val="16"/>
        </w:rPr>
      </w:pPr>
      <w:r>
        <w:rPr>
          <w:sz w:val="16"/>
        </w:rPr>
        <w:t>Time period.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09"/>
        <w:ind w:left="500" w:right="0" w:firstLine="0"/>
        <w:jc w:val="left"/>
        <w:rPr>
          <w:sz w:val="16"/>
        </w:rPr>
      </w:pPr>
      <w:r>
        <w:rPr>
          <w:sz w:val="16"/>
        </w:rPr>
        <w:t>Deadline.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4"/>
        </w:rPr>
      </w:pPr>
    </w:p>
    <w:p>
      <w:pPr>
        <w:spacing w:before="0"/>
        <w:ind w:left="500" w:right="0" w:firstLine="0"/>
        <w:jc w:val="left"/>
        <w:rPr>
          <w:sz w:val="16"/>
        </w:rPr>
      </w:pPr>
      <w:r>
        <w:rPr>
          <w:sz w:val="16"/>
        </w:rPr>
        <w:t>15</w:t>
      </w:r>
      <w:r>
        <w:rPr>
          <w:spacing w:val="-25"/>
          <w:sz w:val="16"/>
        </w:rPr>
        <w:t> </w:t>
      </w:r>
      <w:r>
        <w:rPr>
          <w:sz w:val="16"/>
        </w:rPr>
        <w:t>USC</w:t>
      </w:r>
      <w:r>
        <w:rPr>
          <w:spacing w:val="-25"/>
          <w:sz w:val="16"/>
        </w:rPr>
        <w:t> </w:t>
      </w:r>
      <w:r>
        <w:rPr>
          <w:spacing w:val="-4"/>
          <w:sz w:val="16"/>
        </w:rPr>
        <w:t>7214a.</w:t>
      </w:r>
    </w:p>
    <w:p>
      <w:pPr>
        <w:pStyle w:val="BodyText"/>
        <w:spacing w:line="199" w:lineRule="auto" w:before="1"/>
        <w:ind w:left="1161" w:right="497" w:firstLine="400"/>
        <w:jc w:val="both"/>
      </w:pPr>
      <w:r>
        <w:rPr/>
        <w:br w:type="column"/>
      </w:r>
      <w:r>
        <w:rPr/>
        <w:t>‘‘(A) I</w:t>
      </w:r>
      <w:r>
        <w:rPr>
          <w:vertAlign w:val="subscript"/>
        </w:rPr>
        <w:t>N</w:t>
      </w:r>
      <w:r>
        <w:rPr>
          <w:vertAlign w:val="baseline"/>
        </w:rPr>
        <w:t> </w:t>
      </w:r>
      <w:r>
        <w:rPr>
          <w:vertAlign w:val="subscript"/>
        </w:rPr>
        <w:t>GENERAL</w:t>
      </w:r>
      <w:r>
        <w:rPr>
          <w:vertAlign w:val="baseline"/>
        </w:rPr>
        <w:t>.—If  the  Commission  determines  that a covered issuer has 3 consecutive  non-inspection  </w:t>
      </w:r>
      <w:r>
        <w:rPr>
          <w:spacing w:val="-3"/>
          <w:vertAlign w:val="baseline"/>
        </w:rPr>
        <w:t>years, </w:t>
      </w:r>
      <w:r>
        <w:rPr>
          <w:vertAlign w:val="baseline"/>
        </w:rPr>
        <w:t>the Commission shall prohibit the securities of the covered issuer from 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traded—</w:t>
      </w:r>
    </w:p>
    <w:p>
      <w:pPr>
        <w:pStyle w:val="BodyText"/>
        <w:spacing w:line="188" w:lineRule="exact"/>
        <w:ind w:left="1961"/>
        <w:jc w:val="both"/>
      </w:pPr>
      <w:r>
        <w:rPr/>
        <w:t>‘‘(i) on a national securities exchange; or</w:t>
      </w:r>
    </w:p>
    <w:p>
      <w:pPr>
        <w:pStyle w:val="BodyText"/>
        <w:spacing w:line="199" w:lineRule="auto" w:before="13"/>
        <w:ind w:left="1561" w:right="497" w:firstLine="400"/>
        <w:jc w:val="both"/>
      </w:pPr>
      <w:r>
        <w:rPr/>
        <w:t>‘‘(ii) through any other method that is within the jurisdiction of the Commission to regulate, including through the method of trading that is commonly referred to as the ‘over-the-counter’ trading of securi- ties.</w:t>
      </w:r>
    </w:p>
    <w:p>
      <w:pPr>
        <w:spacing w:line="189" w:lineRule="exact" w:before="0"/>
        <w:ind w:left="1561" w:right="0" w:firstLine="0"/>
        <w:jc w:val="left"/>
        <w:rPr>
          <w:sz w:val="20"/>
        </w:rPr>
      </w:pPr>
      <w:r>
        <w:rPr>
          <w:w w:val="105"/>
          <w:sz w:val="20"/>
        </w:rPr>
        <w:t>‘‘(B)  R</w:t>
      </w:r>
      <w:r>
        <w:rPr>
          <w:w w:val="105"/>
          <w:sz w:val="15"/>
        </w:rPr>
        <w:t>EMOVAL  OF  INITIAL  PROHIBITION</w:t>
      </w:r>
      <w:r>
        <w:rPr>
          <w:w w:val="105"/>
          <w:sz w:val="20"/>
        </w:rPr>
        <w:t>.—If,  after 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the</w:t>
      </w:r>
    </w:p>
    <w:p>
      <w:pPr>
        <w:pStyle w:val="BodyText"/>
        <w:spacing w:line="199" w:lineRule="auto" w:before="14"/>
        <w:ind w:left="1161" w:right="498"/>
        <w:jc w:val="right"/>
      </w:pPr>
      <w:r>
        <w:rPr/>
        <w:t>Commission</w:t>
      </w:r>
      <w:r>
        <w:rPr>
          <w:spacing w:val="25"/>
        </w:rPr>
        <w:t> </w:t>
      </w:r>
      <w:r>
        <w:rPr/>
        <w:t>imposes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prohibition</w:t>
      </w:r>
      <w:r>
        <w:rPr>
          <w:spacing w:val="26"/>
        </w:rPr>
        <w:t> </w:t>
      </w:r>
      <w:r>
        <w:rPr/>
        <w:t>on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covered</w:t>
      </w:r>
      <w:r>
        <w:rPr>
          <w:spacing w:val="25"/>
        </w:rPr>
        <w:t> </w:t>
      </w:r>
      <w:r>
        <w:rPr>
          <w:spacing w:val="-3"/>
        </w:rPr>
        <w:t>issuer</w:t>
      </w:r>
      <w:r>
        <w:rPr>
          <w:w w:val="100"/>
        </w:rPr>
        <w:t> </w:t>
      </w:r>
      <w:r>
        <w:rPr/>
        <w:t>under</w:t>
      </w:r>
      <w:r>
        <w:rPr>
          <w:spacing w:val="18"/>
        </w:rPr>
        <w:t> </w:t>
      </w:r>
      <w:r>
        <w:rPr/>
        <w:t>subparagraph</w:t>
      </w:r>
      <w:r>
        <w:rPr>
          <w:spacing w:val="18"/>
        </w:rPr>
        <w:t> </w:t>
      </w:r>
      <w:r>
        <w:rPr/>
        <w:t>(A),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covered</w:t>
      </w:r>
      <w:r>
        <w:rPr>
          <w:spacing w:val="19"/>
        </w:rPr>
        <w:t> </w:t>
      </w:r>
      <w:r>
        <w:rPr/>
        <w:t>issuer </w:t>
      </w:r>
      <w:r>
        <w:rPr>
          <w:spacing w:val="18"/>
        </w:rPr>
        <w:t> </w:t>
      </w:r>
      <w:r>
        <w:rPr/>
        <w:t>certifies </w:t>
      </w:r>
      <w:r>
        <w:rPr>
          <w:spacing w:val="18"/>
        </w:rPr>
        <w:t> </w:t>
      </w:r>
      <w:r>
        <w:rPr>
          <w:spacing w:val="-9"/>
        </w:rPr>
        <w:t>to</w:t>
      </w:r>
      <w:r>
        <w:rPr>
          <w:w w:val="99"/>
        </w:rPr>
        <w:t> </w:t>
      </w:r>
      <w:r>
        <w:rPr/>
        <w:t>the Commission that the covered issuer has</w:t>
      </w:r>
      <w:r>
        <w:rPr>
          <w:spacing w:val="8"/>
        </w:rPr>
        <w:t> </w:t>
      </w:r>
      <w:r>
        <w:rPr/>
        <w:t>retained</w:t>
      </w:r>
      <w:r>
        <w:rPr>
          <w:spacing w:val="9"/>
        </w:rPr>
        <w:t> </w:t>
      </w:r>
      <w:r>
        <w:rPr>
          <w:spacing w:val="-16"/>
        </w:rPr>
        <w:t>a</w:t>
      </w:r>
      <w:r>
        <w:rPr>
          <w:w w:val="99"/>
        </w:rPr>
        <w:t> </w:t>
      </w:r>
      <w:r>
        <w:rPr/>
        <w:t>registered public accounting firm that the</w:t>
      </w:r>
      <w:r>
        <w:rPr>
          <w:spacing w:val="40"/>
        </w:rPr>
        <w:t> </w:t>
      </w:r>
      <w:r>
        <w:rPr/>
        <w:t>Board</w:t>
      </w:r>
      <w:r>
        <w:rPr>
          <w:spacing w:val="43"/>
        </w:rPr>
        <w:t> </w:t>
      </w:r>
      <w:r>
        <w:rPr>
          <w:spacing w:val="-4"/>
        </w:rPr>
        <w:t>has</w:t>
      </w:r>
      <w:r>
        <w:rPr/>
        <w:t> inspected</w:t>
      </w:r>
      <w:r>
        <w:rPr>
          <w:spacing w:val="29"/>
        </w:rPr>
        <w:t> </w:t>
      </w:r>
      <w:r>
        <w:rPr/>
        <w:t>under</w:t>
      </w:r>
      <w:r>
        <w:rPr>
          <w:spacing w:val="30"/>
        </w:rPr>
        <w:t> </w:t>
      </w:r>
      <w:r>
        <w:rPr/>
        <w:t>this</w:t>
      </w:r>
      <w:r>
        <w:rPr>
          <w:spacing w:val="30"/>
        </w:rPr>
        <w:t> </w:t>
      </w:r>
      <w:r>
        <w:rPr/>
        <w:t>section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satisfaction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6"/>
        </w:rPr>
        <w:t>the</w:t>
      </w:r>
      <w:r>
        <w:rPr/>
        <w:t> Commission, the Commission shall end</w:t>
      </w:r>
      <w:r>
        <w:rPr>
          <w:spacing w:val="14"/>
        </w:rPr>
        <w:t> </w:t>
      </w:r>
      <w:r>
        <w:rPr/>
        <w:t>that</w:t>
      </w:r>
      <w:r>
        <w:rPr>
          <w:spacing w:val="3"/>
        </w:rPr>
        <w:t> </w:t>
      </w:r>
      <w:r>
        <w:rPr>
          <w:spacing w:val="-2"/>
        </w:rPr>
        <w:t>prohibition.</w:t>
      </w:r>
      <w:r>
        <w:rPr/>
        <w:t> ‘‘(C) R</w:t>
      </w:r>
      <w:r>
        <w:rPr>
          <w:sz w:val="15"/>
        </w:rPr>
        <w:t>ECURRENCE OF NON</w:t>
      </w:r>
      <w:r>
        <w:rPr/>
        <w:t>-</w:t>
      </w:r>
      <w:r>
        <w:rPr>
          <w:sz w:val="15"/>
        </w:rPr>
        <w:t>INSPECTION YEARS</w:t>
      </w:r>
      <w:r>
        <w:rPr/>
        <w:t>.—If,</w:t>
      </w:r>
      <w:r>
        <w:rPr>
          <w:spacing w:val="38"/>
        </w:rPr>
        <w:t> </w:t>
      </w:r>
      <w:r>
        <w:rPr/>
        <w:t>after</w:t>
      </w:r>
    </w:p>
    <w:p>
      <w:pPr>
        <w:pStyle w:val="BodyText"/>
        <w:spacing w:line="190" w:lineRule="exact"/>
        <w:ind w:left="1161"/>
        <w:jc w:val="both"/>
      </w:pPr>
      <w:r>
        <w:rPr/>
        <w:t>the  Commission  ends  a  prohibition  under </w:t>
      </w:r>
      <w:r>
        <w:rPr>
          <w:spacing w:val="47"/>
        </w:rPr>
        <w:t> </w:t>
      </w:r>
      <w:r>
        <w:rPr/>
        <w:t>subparagraph</w:t>
      </w:r>
    </w:p>
    <w:p>
      <w:pPr>
        <w:pStyle w:val="BodyText"/>
        <w:spacing w:line="199" w:lineRule="auto" w:before="13"/>
        <w:ind w:left="1161" w:right="497"/>
        <w:jc w:val="both"/>
      </w:pPr>
      <w:r>
        <w:rPr/>
        <w:t>(B) or (D) with respect to a covered issuer, the Commission determines that the covered issuer has a non-inspection year, the Commission shall prohibit the securities of the covered issuer from being traded—</w:t>
      </w:r>
    </w:p>
    <w:p>
      <w:pPr>
        <w:pStyle w:val="BodyText"/>
        <w:spacing w:line="188" w:lineRule="exact"/>
        <w:ind w:left="1961"/>
        <w:jc w:val="both"/>
      </w:pPr>
      <w:r>
        <w:rPr/>
        <w:t>‘‘(i) on a national securities exchange; or</w:t>
      </w:r>
    </w:p>
    <w:p>
      <w:pPr>
        <w:pStyle w:val="BodyText"/>
        <w:spacing w:line="199" w:lineRule="auto" w:before="13"/>
        <w:ind w:left="1561" w:right="497" w:firstLine="400"/>
        <w:jc w:val="both"/>
      </w:pPr>
      <w:r>
        <w:rPr/>
        <w:t>‘‘(ii) through any other method that is within the jurisdiction of the Commission to regulate, including through the method of trading that is commonly referred to as the ‘over-the-counter’ trading of securi- ties.</w:t>
      </w:r>
    </w:p>
    <w:p>
      <w:pPr>
        <w:spacing w:line="189" w:lineRule="exact" w:before="0"/>
        <w:ind w:left="1561" w:right="0" w:firstLine="0"/>
        <w:jc w:val="left"/>
        <w:rPr>
          <w:sz w:val="20"/>
        </w:rPr>
      </w:pPr>
      <w:r>
        <w:rPr>
          <w:w w:val="105"/>
          <w:sz w:val="20"/>
        </w:rPr>
        <w:t>‘‘(D) R</w:t>
      </w:r>
      <w:r>
        <w:rPr>
          <w:w w:val="105"/>
          <w:sz w:val="15"/>
        </w:rPr>
        <w:t>EMOVAL OF SUBSEQUENT PROHIBITION</w:t>
      </w:r>
      <w:r>
        <w:rPr>
          <w:w w:val="105"/>
          <w:sz w:val="20"/>
        </w:rPr>
        <w:t>.—If, after</w:t>
      </w:r>
    </w:p>
    <w:p>
      <w:pPr>
        <w:pStyle w:val="BodyText"/>
        <w:spacing w:line="199" w:lineRule="auto" w:before="14"/>
        <w:ind w:left="1161" w:right="498"/>
        <w:jc w:val="both"/>
      </w:pPr>
      <w:r>
        <w:rPr/>
        <w:t>the end of the 5-year period beginning on the date  </w:t>
      </w:r>
      <w:r>
        <w:rPr>
          <w:spacing w:val="-9"/>
        </w:rPr>
        <w:t>on  </w:t>
      </w:r>
      <w:r>
        <w:rPr/>
        <w:t>which the Commission imposes a prohibition on a </w:t>
      </w:r>
      <w:r>
        <w:rPr>
          <w:spacing w:val="-3"/>
        </w:rPr>
        <w:t>covered </w:t>
      </w:r>
      <w:r>
        <w:rPr/>
        <w:t>issuer under subparagraph (C), the covered issuer certifies to the Commission that the covered issuer will retain</w:t>
      </w:r>
      <w:r>
        <w:rPr>
          <w:spacing w:val="37"/>
        </w:rPr>
        <w:t> </w:t>
      </w:r>
      <w:r>
        <w:rPr>
          <w:spacing w:val="-18"/>
        </w:rPr>
        <w:t>a </w:t>
      </w:r>
      <w:r>
        <w:rPr/>
        <w:t>registered public accounting firm that  the  Board  is  </w:t>
      </w:r>
      <w:r>
        <w:rPr>
          <w:spacing w:val="-4"/>
        </w:rPr>
        <w:t>able </w:t>
      </w:r>
      <w:r>
        <w:rPr/>
        <w:t>to inspect under this section, the Commission shall  end that</w:t>
      </w:r>
      <w:r>
        <w:rPr>
          <w:spacing w:val="-1"/>
        </w:rPr>
        <w:t> </w:t>
      </w:r>
      <w:r>
        <w:rPr/>
        <w:t>prohibition.</w:t>
      </w:r>
    </w:p>
    <w:p>
      <w:pPr>
        <w:pStyle w:val="BodyText"/>
        <w:spacing w:line="199" w:lineRule="auto" w:before="3"/>
        <w:ind w:left="761" w:right="498" w:firstLine="400"/>
        <w:jc w:val="both"/>
      </w:pPr>
      <w:r>
        <w:rPr/>
        <w:t>‘‘(4) R</w:t>
      </w:r>
      <w:r>
        <w:rPr>
          <w:vertAlign w:val="subscript"/>
        </w:rPr>
        <w:t>ULES</w:t>
      </w:r>
      <w:r>
        <w:rPr>
          <w:vertAlign w:val="baseline"/>
        </w:rPr>
        <w:t>.—Not later than 90 days after the date of enact- ment of this subsection, the Commission shall issue rules that establish the manner and form in which a covered issuer shall make a submission required under paragraph (2)(B).’’.</w:t>
      </w:r>
    </w:p>
    <w:p>
      <w:pPr>
        <w:spacing w:before="127"/>
        <w:ind w:left="361" w:right="0" w:firstLine="0"/>
        <w:jc w:val="left"/>
        <w:rPr>
          <w:rFonts w:ascii="Century Schoolbook"/>
          <w:b/>
          <w:sz w:val="16"/>
        </w:rPr>
      </w:pPr>
      <w:r>
        <w:rPr>
          <w:rFonts w:ascii="Century Schoolbook"/>
          <w:b/>
          <w:sz w:val="16"/>
        </w:rPr>
        <w:t>SEC. 3. ADDITIONAL DISCLOSURE.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</w:tabs>
        <w:spacing w:line="220" w:lineRule="exact" w:before="49" w:after="0"/>
        <w:ind w:left="1060" w:right="0" w:hanging="300"/>
        <w:jc w:val="left"/>
        <w:rPr>
          <w:sz w:val="20"/>
        </w:rPr>
      </w:pPr>
      <w:r>
        <w:rPr>
          <w:sz w:val="20"/>
        </w:rPr>
        <w:t>D</w:t>
      </w:r>
      <w:r>
        <w:rPr>
          <w:sz w:val="20"/>
          <w:vertAlign w:val="subscript"/>
        </w:rPr>
        <w:t>EFINITIONS</w:t>
      </w:r>
      <w:r>
        <w:rPr>
          <w:sz w:val="20"/>
          <w:vertAlign w:val="baseline"/>
        </w:rPr>
        <w:t>.—In this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section—</w:t>
      </w:r>
    </w:p>
    <w:p>
      <w:pPr>
        <w:pStyle w:val="ListParagraph"/>
        <w:numPr>
          <w:ilvl w:val="1"/>
          <w:numId w:val="1"/>
        </w:numPr>
        <w:tabs>
          <w:tab w:pos="1531" w:val="left" w:leader="none"/>
        </w:tabs>
        <w:spacing w:line="199" w:lineRule="auto" w:before="13" w:after="0"/>
        <w:ind w:left="761" w:right="497" w:firstLine="400"/>
        <w:jc w:val="left"/>
        <w:rPr>
          <w:sz w:val="20"/>
        </w:rPr>
      </w:pPr>
      <w:r>
        <w:rPr>
          <w:sz w:val="20"/>
        </w:rPr>
        <w:t>the term ‘‘audit report’’ has the meaning given  </w:t>
      </w:r>
      <w:r>
        <w:rPr>
          <w:spacing w:val="-5"/>
          <w:sz w:val="20"/>
        </w:rPr>
        <w:t>the  </w:t>
      </w:r>
      <w:r>
        <w:rPr>
          <w:sz w:val="20"/>
        </w:rPr>
        <w:t>term</w:t>
      </w:r>
      <w:r>
        <w:rPr>
          <w:spacing w:val="6"/>
          <w:sz w:val="20"/>
        </w:rPr>
        <w:t> </w:t>
      </w:r>
      <w:r>
        <w:rPr>
          <w:sz w:val="20"/>
        </w:rPr>
        <w:t>in</w:t>
      </w:r>
      <w:r>
        <w:rPr>
          <w:spacing w:val="7"/>
          <w:sz w:val="20"/>
        </w:rPr>
        <w:t> </w:t>
      </w:r>
      <w:r>
        <w:rPr>
          <w:sz w:val="20"/>
        </w:rPr>
        <w:t>section</w:t>
      </w:r>
      <w:r>
        <w:rPr>
          <w:spacing w:val="7"/>
          <w:sz w:val="20"/>
        </w:rPr>
        <w:t> </w:t>
      </w:r>
      <w:r>
        <w:rPr>
          <w:sz w:val="20"/>
        </w:rPr>
        <w:t>2(a)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Sarbanes-Oxley</w:t>
      </w:r>
      <w:r>
        <w:rPr>
          <w:spacing w:val="7"/>
          <w:sz w:val="20"/>
        </w:rPr>
        <w:t> </w:t>
      </w:r>
      <w:r>
        <w:rPr>
          <w:sz w:val="20"/>
        </w:rPr>
        <w:t>Act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2002</w:t>
      </w:r>
      <w:r>
        <w:rPr>
          <w:spacing w:val="7"/>
          <w:sz w:val="20"/>
        </w:rPr>
        <w:t> </w:t>
      </w:r>
      <w:r>
        <w:rPr>
          <w:sz w:val="20"/>
        </w:rPr>
        <w:t>(15</w:t>
      </w:r>
    </w:p>
    <w:p>
      <w:pPr>
        <w:pStyle w:val="BodyText"/>
        <w:spacing w:line="188" w:lineRule="exact"/>
        <w:ind w:left="761"/>
      </w:pPr>
      <w:r>
        <w:rPr/>
        <w:t>U.S.C. 7201(a));</w:t>
      </w:r>
    </w:p>
    <w:p>
      <w:pPr>
        <w:pStyle w:val="ListParagraph"/>
        <w:numPr>
          <w:ilvl w:val="1"/>
          <w:numId w:val="1"/>
        </w:numPr>
        <w:tabs>
          <w:tab w:pos="1563" w:val="left" w:leader="none"/>
        </w:tabs>
        <w:spacing w:line="199" w:lineRule="auto" w:before="13" w:after="0"/>
        <w:ind w:left="761" w:right="498" w:firstLine="400"/>
        <w:jc w:val="left"/>
        <w:rPr>
          <w:sz w:val="20"/>
        </w:rPr>
      </w:pPr>
      <w:r>
        <w:rPr>
          <w:sz w:val="20"/>
        </w:rPr>
        <w:t>the term ‘‘Commission’’ means the Securities </w:t>
      </w:r>
      <w:r>
        <w:rPr>
          <w:spacing w:val="-5"/>
          <w:sz w:val="20"/>
        </w:rPr>
        <w:t>and </w:t>
      </w:r>
      <w:r>
        <w:rPr>
          <w:sz w:val="20"/>
        </w:rPr>
        <w:t>Exchange</w:t>
      </w:r>
      <w:r>
        <w:rPr>
          <w:spacing w:val="-1"/>
          <w:sz w:val="20"/>
        </w:rPr>
        <w:t> </w:t>
      </w:r>
      <w:r>
        <w:rPr>
          <w:sz w:val="20"/>
        </w:rPr>
        <w:t>Commission;</w:t>
      </w:r>
    </w:p>
    <w:p>
      <w:pPr>
        <w:pStyle w:val="ListParagraph"/>
        <w:numPr>
          <w:ilvl w:val="1"/>
          <w:numId w:val="1"/>
        </w:numPr>
        <w:tabs>
          <w:tab w:pos="1461" w:val="left" w:leader="none"/>
        </w:tabs>
        <w:spacing w:line="188" w:lineRule="exact" w:before="0" w:after="0"/>
        <w:ind w:left="1460" w:right="0" w:hanging="300"/>
        <w:jc w:val="left"/>
        <w:rPr>
          <w:sz w:val="20"/>
        </w:rPr>
      </w:pPr>
      <w:r>
        <w:rPr>
          <w:sz w:val="20"/>
        </w:rPr>
        <w:t>the term ‘‘covered</w:t>
      </w:r>
      <w:r>
        <w:rPr>
          <w:spacing w:val="-3"/>
          <w:sz w:val="20"/>
        </w:rPr>
        <w:t> </w:t>
      </w:r>
      <w:r>
        <w:rPr>
          <w:sz w:val="20"/>
        </w:rPr>
        <w:t>form’’—</w:t>
      </w:r>
    </w:p>
    <w:p>
      <w:pPr>
        <w:pStyle w:val="ListParagraph"/>
        <w:numPr>
          <w:ilvl w:val="2"/>
          <w:numId w:val="1"/>
        </w:numPr>
        <w:tabs>
          <w:tab w:pos="1894" w:val="left" w:leader="none"/>
        </w:tabs>
        <w:spacing w:line="220" w:lineRule="exact" w:before="0" w:after="0"/>
        <w:ind w:left="1893" w:right="0" w:hanging="333"/>
        <w:jc w:val="left"/>
        <w:rPr>
          <w:sz w:val="20"/>
        </w:rPr>
      </w:pPr>
      <w:r>
        <w:rPr>
          <w:sz w:val="20"/>
        </w:rPr>
        <w:t>means—</w:t>
      </w:r>
    </w:p>
    <w:p>
      <w:pPr>
        <w:spacing w:after="0" w:line="220" w:lineRule="exact"/>
        <w:jc w:val="left"/>
        <w:rPr>
          <w:sz w:val="20"/>
        </w:rPr>
        <w:sectPr>
          <w:type w:val="continuous"/>
          <w:pgSz w:w="12240" w:h="15840"/>
          <w:pgMar w:top="2080" w:bottom="280" w:left="1720" w:right="1720"/>
          <w:cols w:num="2" w:equalWidth="0">
            <w:col w:w="1539" w:space="40"/>
            <w:col w:w="7221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ListParagraph"/>
        <w:numPr>
          <w:ilvl w:val="3"/>
          <w:numId w:val="1"/>
        </w:numPr>
        <w:tabs>
          <w:tab w:pos="2403" w:val="left" w:leader="none"/>
        </w:tabs>
        <w:spacing w:line="204" w:lineRule="auto" w:before="129" w:after="0"/>
        <w:ind w:left="1700" w:right="1939" w:firstLine="400"/>
        <w:jc w:val="both"/>
        <w:rPr>
          <w:sz w:val="20"/>
        </w:rPr>
      </w:pPr>
      <w:r>
        <w:rPr>
          <w:sz w:val="20"/>
        </w:rPr>
        <w:t>the form described in section 249.310 of </w:t>
      </w:r>
      <w:r>
        <w:rPr>
          <w:spacing w:val="-3"/>
          <w:sz w:val="20"/>
        </w:rPr>
        <w:t>title  </w:t>
      </w:r>
      <w:r>
        <w:rPr>
          <w:sz w:val="20"/>
        </w:rPr>
        <w:t>17, Code of Federal Regulations, or any successor </w:t>
      </w:r>
      <w:r>
        <w:rPr>
          <w:spacing w:val="-3"/>
          <w:sz w:val="20"/>
        </w:rPr>
        <w:t>regu- </w:t>
      </w:r>
      <w:r>
        <w:rPr>
          <w:sz w:val="20"/>
        </w:rPr>
        <w:t>lation;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3"/>
          <w:numId w:val="1"/>
        </w:numPr>
        <w:tabs>
          <w:tab w:pos="2450" w:val="left" w:leader="none"/>
        </w:tabs>
        <w:spacing w:line="204" w:lineRule="auto" w:before="0" w:after="0"/>
        <w:ind w:left="1700" w:right="1939" w:firstLine="400"/>
        <w:jc w:val="both"/>
        <w:rPr>
          <w:sz w:val="20"/>
        </w:rPr>
      </w:pPr>
      <w:r>
        <w:rPr>
          <w:sz w:val="20"/>
        </w:rPr>
        <w:t>the form described in section 249.220f of </w:t>
      </w:r>
      <w:r>
        <w:rPr>
          <w:spacing w:val="-3"/>
          <w:sz w:val="20"/>
        </w:rPr>
        <w:t>title </w:t>
      </w:r>
      <w:r>
        <w:rPr>
          <w:sz w:val="20"/>
        </w:rPr>
        <w:t>17, Code of Federal Regulations, or any successor </w:t>
      </w:r>
      <w:r>
        <w:rPr>
          <w:spacing w:val="-3"/>
          <w:sz w:val="20"/>
        </w:rPr>
        <w:t>regu- </w:t>
      </w:r>
      <w:r>
        <w:rPr>
          <w:sz w:val="20"/>
        </w:rPr>
        <w:t>lation;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2"/>
          <w:numId w:val="1"/>
        </w:numPr>
        <w:tabs>
          <w:tab w:pos="2033" w:val="left" w:leader="none"/>
        </w:tabs>
        <w:spacing w:line="192" w:lineRule="exact" w:before="0" w:after="0"/>
        <w:ind w:left="2032" w:right="0" w:hanging="333"/>
        <w:jc w:val="both"/>
        <w:rPr>
          <w:sz w:val="20"/>
        </w:rPr>
      </w:pPr>
      <w:r>
        <w:rPr>
          <w:sz w:val="20"/>
        </w:rPr>
        <w:t>includes a form</w:t>
      </w:r>
      <w:r>
        <w:rPr>
          <w:spacing w:val="-3"/>
          <w:sz w:val="20"/>
        </w:rPr>
        <w:t> </w:t>
      </w:r>
      <w:r>
        <w:rPr>
          <w:sz w:val="20"/>
        </w:rPr>
        <w:t>that—</w:t>
      </w:r>
    </w:p>
    <w:p>
      <w:pPr>
        <w:pStyle w:val="ListParagraph"/>
        <w:numPr>
          <w:ilvl w:val="3"/>
          <w:numId w:val="1"/>
        </w:numPr>
        <w:tabs>
          <w:tab w:pos="2417" w:val="left" w:leader="none"/>
        </w:tabs>
        <w:spacing w:line="204" w:lineRule="auto" w:before="10" w:after="0"/>
        <w:ind w:left="1700" w:right="1938" w:firstLine="400"/>
        <w:jc w:val="both"/>
        <w:rPr>
          <w:sz w:val="20"/>
        </w:rPr>
      </w:pPr>
      <w:r>
        <w:rPr>
          <w:sz w:val="20"/>
        </w:rPr>
        <w:t>is the equivalent of, or  substantially  </w:t>
      </w:r>
      <w:r>
        <w:rPr>
          <w:spacing w:val="-3"/>
          <w:sz w:val="20"/>
        </w:rPr>
        <w:t>similar  </w:t>
      </w:r>
      <w:r>
        <w:rPr>
          <w:sz w:val="20"/>
        </w:rPr>
        <w:t>to, the form described in clause (i) or (ii) of subpara- graph (A);</w:t>
      </w:r>
      <w:r>
        <w:rPr>
          <w:spacing w:val="-2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3"/>
          <w:numId w:val="1"/>
        </w:numPr>
        <w:tabs>
          <w:tab w:pos="2494" w:val="left" w:leader="none"/>
        </w:tabs>
        <w:spacing w:line="204" w:lineRule="auto" w:before="0" w:after="0"/>
        <w:ind w:left="1700" w:right="1937" w:firstLine="400"/>
        <w:jc w:val="both"/>
        <w:rPr>
          <w:sz w:val="20"/>
        </w:rPr>
      </w:pPr>
      <w:r>
        <w:rPr>
          <w:sz w:val="20"/>
        </w:rPr>
        <w:t>a foreign issuer files with the Commission under the Securities Exchange Act of 1934 (15 </w:t>
      </w:r>
      <w:r>
        <w:rPr>
          <w:spacing w:val="-3"/>
          <w:sz w:val="20"/>
        </w:rPr>
        <w:t>U.S.C. </w:t>
      </w:r>
      <w:r>
        <w:rPr>
          <w:sz w:val="20"/>
        </w:rPr>
        <w:t>78a et seq.) or rules issued under that</w:t>
      </w:r>
      <w:r>
        <w:rPr>
          <w:spacing w:val="-9"/>
          <w:sz w:val="20"/>
        </w:rPr>
        <w:t> </w:t>
      </w:r>
      <w:r>
        <w:rPr>
          <w:sz w:val="20"/>
        </w:rPr>
        <w:t>Act;</w:t>
      </w:r>
    </w:p>
    <w:p>
      <w:pPr>
        <w:pStyle w:val="ListParagraph"/>
        <w:numPr>
          <w:ilvl w:val="1"/>
          <w:numId w:val="1"/>
        </w:numPr>
        <w:tabs>
          <w:tab w:pos="1656" w:val="left" w:leader="none"/>
        </w:tabs>
        <w:spacing w:line="204" w:lineRule="auto" w:before="0" w:after="0"/>
        <w:ind w:left="900" w:right="1940" w:firstLine="400"/>
        <w:jc w:val="both"/>
        <w:rPr>
          <w:sz w:val="20"/>
        </w:rPr>
      </w:pPr>
      <w:r>
        <w:rPr>
          <w:sz w:val="20"/>
        </w:rPr>
        <w:t>the terms ‘‘covered issuer’’ and ‘‘non-inspection </w:t>
      </w:r>
      <w:r>
        <w:rPr>
          <w:spacing w:val="-3"/>
          <w:sz w:val="20"/>
        </w:rPr>
        <w:t>year’’ </w:t>
      </w:r>
      <w:r>
        <w:rPr>
          <w:sz w:val="20"/>
        </w:rPr>
        <w:t>have the meanings given the terms in subsection (i)(1) of</w:t>
      </w:r>
      <w:r>
        <w:rPr>
          <w:spacing w:val="23"/>
          <w:sz w:val="20"/>
        </w:rPr>
        <w:t> </w:t>
      </w:r>
      <w:r>
        <w:rPr>
          <w:spacing w:val="-3"/>
          <w:sz w:val="20"/>
        </w:rPr>
        <w:t>section</w:t>
      </w:r>
    </w:p>
    <w:p>
      <w:pPr>
        <w:pStyle w:val="BodyText"/>
        <w:spacing w:line="204" w:lineRule="auto"/>
        <w:ind w:left="900" w:right="1936"/>
        <w:jc w:val="both"/>
      </w:pPr>
      <w:r>
        <w:rPr/>
        <w:t>104 of the Sarbanes-Oxley Act of 2002 (15 U.S.C. 7214), </w:t>
      </w:r>
      <w:r>
        <w:rPr>
          <w:spacing w:val="-7"/>
        </w:rPr>
        <w:t>as </w:t>
      </w:r>
      <w:r>
        <w:rPr/>
        <w:t>added by section 2 of this Act;</w:t>
      </w:r>
      <w:r>
        <w:rPr>
          <w:spacing w:val="-8"/>
        </w:rPr>
        <w:t> </w:t>
      </w:r>
      <w:r>
        <w:rPr/>
        <w:t>and</w:t>
      </w:r>
    </w:p>
    <w:p>
      <w:pPr>
        <w:pStyle w:val="ListParagraph"/>
        <w:numPr>
          <w:ilvl w:val="1"/>
          <w:numId w:val="1"/>
        </w:numPr>
        <w:tabs>
          <w:tab w:pos="1652" w:val="left" w:leader="none"/>
        </w:tabs>
        <w:spacing w:line="204" w:lineRule="auto" w:before="0" w:after="0"/>
        <w:ind w:left="900" w:right="1941" w:firstLine="400"/>
        <w:jc w:val="both"/>
        <w:rPr>
          <w:sz w:val="20"/>
        </w:rPr>
      </w:pPr>
      <w:r>
        <w:rPr>
          <w:sz w:val="20"/>
        </w:rPr>
        <w:t>the term ‘‘foreign issuer’’ has the meaning given </w:t>
      </w:r>
      <w:r>
        <w:rPr>
          <w:spacing w:val="-5"/>
          <w:sz w:val="20"/>
        </w:rPr>
        <w:t>the </w:t>
      </w:r>
      <w:r>
        <w:rPr>
          <w:sz w:val="20"/>
        </w:rPr>
        <w:t>term in section 240.3b–4 of title 17, Code of Federal </w:t>
      </w:r>
      <w:r>
        <w:rPr>
          <w:spacing w:val="-3"/>
          <w:sz w:val="20"/>
        </w:rPr>
        <w:t>Regula- </w:t>
      </w:r>
      <w:r>
        <w:rPr>
          <w:sz w:val="20"/>
        </w:rPr>
        <w:t>tions, or any successor</w:t>
      </w:r>
      <w:r>
        <w:rPr>
          <w:spacing w:val="-4"/>
          <w:sz w:val="20"/>
        </w:rPr>
        <w:t> </w:t>
      </w:r>
      <w:r>
        <w:rPr>
          <w:sz w:val="20"/>
        </w:rPr>
        <w:t>regulation.</w:t>
      </w:r>
    </w:p>
    <w:p>
      <w:pPr>
        <w:pStyle w:val="ListParagraph"/>
        <w:numPr>
          <w:ilvl w:val="0"/>
          <w:numId w:val="1"/>
        </w:numPr>
        <w:tabs>
          <w:tab w:pos="1214" w:val="left" w:leader="none"/>
        </w:tabs>
        <w:spacing w:line="204" w:lineRule="auto" w:before="0" w:after="0"/>
        <w:ind w:left="499" w:right="1936" w:firstLine="400"/>
        <w:jc w:val="both"/>
        <w:rPr>
          <w:sz w:val="20"/>
        </w:rPr>
      </w:pPr>
      <w:r>
        <w:rPr>
          <w:sz w:val="20"/>
        </w:rPr>
        <w:t>R</w:t>
      </w:r>
      <w:r>
        <w:rPr>
          <w:sz w:val="20"/>
          <w:vertAlign w:val="subscript"/>
        </w:rPr>
        <w:t>EQUIREMENT</w:t>
      </w:r>
      <w:r>
        <w:rPr>
          <w:sz w:val="20"/>
          <w:vertAlign w:val="baseline"/>
        </w:rPr>
        <w:t>.—Each covered issuer that is a foreign issuer and for which, during a non-inspection year with respect to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the covered issuer, a registered public accounting firm described </w:t>
      </w:r>
      <w:r>
        <w:rPr>
          <w:spacing w:val="-7"/>
          <w:sz w:val="20"/>
          <w:vertAlign w:val="baseline"/>
        </w:rPr>
        <w:t>in </w:t>
      </w:r>
      <w:r>
        <w:rPr>
          <w:sz w:val="20"/>
          <w:vertAlign w:val="baseline"/>
        </w:rPr>
        <w:t>subsection (i)(2)(A) of section 104 of the Sarbanes-Oxley  Act  </w:t>
      </w:r>
      <w:r>
        <w:rPr>
          <w:spacing w:val="-7"/>
          <w:sz w:val="20"/>
          <w:vertAlign w:val="baseline"/>
        </w:rPr>
        <w:t>of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2002 (15 U.S.C. 7214), as added by section 2 of this Act, has prepared an audit report shall disclose in each covered form filed   by that issuer that covers such a non-inspection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year—</w:t>
      </w:r>
    </w:p>
    <w:p>
      <w:pPr>
        <w:pStyle w:val="ListParagraph"/>
        <w:numPr>
          <w:ilvl w:val="1"/>
          <w:numId w:val="1"/>
        </w:numPr>
        <w:tabs>
          <w:tab w:pos="1652" w:val="left" w:leader="none"/>
        </w:tabs>
        <w:spacing w:line="204" w:lineRule="auto" w:before="0" w:after="0"/>
        <w:ind w:left="899" w:right="1937" w:firstLine="400"/>
        <w:jc w:val="both"/>
        <w:rPr>
          <w:sz w:val="20"/>
        </w:rPr>
      </w:pPr>
      <w:r>
        <w:rPr>
          <w:sz w:val="20"/>
        </w:rPr>
        <w:t>that, during the period covered by the covered</w:t>
      </w:r>
      <w:r>
        <w:rPr>
          <w:spacing w:val="27"/>
          <w:sz w:val="20"/>
        </w:rPr>
        <w:t> </w:t>
      </w:r>
      <w:r>
        <w:rPr>
          <w:spacing w:val="-4"/>
          <w:sz w:val="20"/>
        </w:rPr>
        <w:t>form, </w:t>
      </w:r>
      <w:r>
        <w:rPr>
          <w:sz w:val="20"/>
        </w:rPr>
        <w:t>such a registered public accounting firm has prepared an </w:t>
      </w:r>
      <w:r>
        <w:rPr>
          <w:spacing w:val="-3"/>
          <w:sz w:val="20"/>
        </w:rPr>
        <w:t>audit </w:t>
      </w:r>
      <w:r>
        <w:rPr>
          <w:sz w:val="20"/>
        </w:rPr>
        <w:t>report for the</w:t>
      </w:r>
      <w:r>
        <w:rPr>
          <w:spacing w:val="-3"/>
          <w:sz w:val="20"/>
        </w:rPr>
        <w:t> </w:t>
      </w:r>
      <w:r>
        <w:rPr>
          <w:sz w:val="20"/>
        </w:rPr>
        <w:t>issuer;</w:t>
      </w:r>
    </w:p>
    <w:p>
      <w:pPr>
        <w:pStyle w:val="ListParagraph"/>
        <w:numPr>
          <w:ilvl w:val="1"/>
          <w:numId w:val="1"/>
        </w:numPr>
        <w:tabs>
          <w:tab w:pos="1654" w:val="left" w:leader="none"/>
        </w:tabs>
        <w:spacing w:line="204" w:lineRule="auto" w:before="0" w:after="0"/>
        <w:ind w:left="899" w:right="1939" w:firstLine="400"/>
        <w:jc w:val="both"/>
        <w:rPr>
          <w:sz w:val="20"/>
        </w:rPr>
      </w:pPr>
      <w:r>
        <w:rPr>
          <w:sz w:val="20"/>
        </w:rPr>
        <w:t>the percentage of the shares of the issuer owned</w:t>
      </w:r>
      <w:r>
        <w:rPr>
          <w:spacing w:val="37"/>
          <w:sz w:val="20"/>
        </w:rPr>
        <w:t> </w:t>
      </w:r>
      <w:r>
        <w:rPr>
          <w:spacing w:val="-8"/>
          <w:sz w:val="20"/>
        </w:rPr>
        <w:t>by </w:t>
      </w:r>
      <w:r>
        <w:rPr>
          <w:sz w:val="20"/>
        </w:rPr>
        <w:t>governmental entities in the foreign jurisdiction in which </w:t>
      </w:r>
      <w:r>
        <w:rPr>
          <w:spacing w:val="-4"/>
          <w:sz w:val="20"/>
        </w:rPr>
        <w:t>the </w:t>
      </w:r>
      <w:r>
        <w:rPr>
          <w:sz w:val="20"/>
        </w:rPr>
        <w:t>issuer is incorporated or otherwise</w:t>
      </w:r>
      <w:r>
        <w:rPr>
          <w:spacing w:val="-5"/>
          <w:sz w:val="20"/>
        </w:rPr>
        <w:t> </w:t>
      </w:r>
      <w:r>
        <w:rPr>
          <w:sz w:val="20"/>
        </w:rPr>
        <w:t>organized;</w:t>
      </w:r>
    </w:p>
    <w:p>
      <w:pPr>
        <w:pStyle w:val="ListParagraph"/>
        <w:numPr>
          <w:ilvl w:val="1"/>
          <w:numId w:val="1"/>
        </w:numPr>
        <w:tabs>
          <w:tab w:pos="1616" w:val="left" w:leader="none"/>
        </w:tabs>
        <w:spacing w:line="204" w:lineRule="auto" w:before="0" w:after="0"/>
        <w:ind w:left="899" w:right="1937" w:firstLine="400"/>
        <w:jc w:val="both"/>
        <w:rPr>
          <w:sz w:val="20"/>
        </w:rPr>
      </w:pPr>
      <w:r>
        <w:rPr>
          <w:sz w:val="20"/>
        </w:rPr>
        <w:t>whether governmental entities in the applicable </w:t>
      </w:r>
      <w:r>
        <w:rPr>
          <w:spacing w:val="-3"/>
          <w:sz w:val="20"/>
        </w:rPr>
        <w:t>foreign </w:t>
      </w:r>
      <w:r>
        <w:rPr>
          <w:sz w:val="20"/>
        </w:rPr>
        <w:t>jurisdiction with respect to that registered public accounting firm have a controlling financial interest with respect to </w:t>
      </w:r>
      <w:r>
        <w:rPr>
          <w:spacing w:val="-5"/>
          <w:sz w:val="20"/>
        </w:rPr>
        <w:t>the </w:t>
      </w:r>
      <w:r>
        <w:rPr>
          <w:sz w:val="20"/>
        </w:rPr>
        <w:t>issuer;</w:t>
      </w:r>
    </w:p>
    <w:p>
      <w:pPr>
        <w:pStyle w:val="ListParagraph"/>
        <w:numPr>
          <w:ilvl w:val="1"/>
          <w:numId w:val="1"/>
        </w:numPr>
        <w:tabs>
          <w:tab w:pos="1656" w:val="left" w:leader="none"/>
        </w:tabs>
        <w:spacing w:line="204" w:lineRule="auto" w:before="0" w:after="0"/>
        <w:ind w:left="899" w:right="1938" w:firstLine="400"/>
        <w:jc w:val="both"/>
        <w:rPr>
          <w:sz w:val="20"/>
        </w:rPr>
      </w:pPr>
      <w:r>
        <w:rPr>
          <w:sz w:val="20"/>
        </w:rPr>
        <w:t>the name of each official of the Chinese Communist Party who is a member of the board of directors</w:t>
      </w:r>
      <w:r>
        <w:rPr>
          <w:spacing w:val="-11"/>
          <w:sz w:val="20"/>
        </w:rPr>
        <w:t> </w:t>
      </w:r>
      <w:r>
        <w:rPr>
          <w:sz w:val="20"/>
        </w:rPr>
        <w:t>of—</w:t>
      </w:r>
    </w:p>
    <w:p>
      <w:pPr>
        <w:pStyle w:val="ListParagraph"/>
        <w:numPr>
          <w:ilvl w:val="2"/>
          <w:numId w:val="1"/>
        </w:numPr>
        <w:tabs>
          <w:tab w:pos="2033" w:val="left" w:leader="none"/>
        </w:tabs>
        <w:spacing w:line="192" w:lineRule="exact" w:before="0" w:after="0"/>
        <w:ind w:left="2032" w:right="0" w:hanging="334"/>
        <w:jc w:val="both"/>
        <w:rPr>
          <w:sz w:val="20"/>
        </w:rPr>
      </w:pPr>
      <w:r>
        <w:rPr>
          <w:sz w:val="20"/>
        </w:rPr>
        <w:t>the issuer;</w:t>
      </w:r>
      <w:r>
        <w:rPr>
          <w:spacing w:val="-2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2"/>
          <w:numId w:val="1"/>
        </w:numPr>
        <w:tabs>
          <w:tab w:pos="2100" w:val="left" w:leader="none"/>
        </w:tabs>
        <w:spacing w:line="187" w:lineRule="exact" w:before="0" w:after="0"/>
        <w:ind w:left="2099" w:right="0" w:hanging="401"/>
        <w:jc w:val="both"/>
        <w:rPr>
          <w:sz w:val="20"/>
        </w:rPr>
      </w:pPr>
      <w:r>
        <w:rPr>
          <w:sz w:val="20"/>
        </w:rPr>
        <w:t>the operating entity with respect to the</w:t>
      </w:r>
      <w:r>
        <w:rPr>
          <w:spacing w:val="14"/>
          <w:sz w:val="20"/>
        </w:rPr>
        <w:t> </w:t>
      </w:r>
      <w:r>
        <w:rPr>
          <w:sz w:val="20"/>
        </w:rPr>
        <w:t>issuer;</w:t>
      </w:r>
    </w:p>
    <w:p>
      <w:pPr>
        <w:pStyle w:val="BodyText"/>
        <w:spacing w:line="210" w:lineRule="exact"/>
        <w:ind w:left="1299"/>
      </w:pPr>
      <w:r>
        <w:rPr/>
        <w:t>and</w:t>
      </w: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04" w:lineRule="auto" w:before="11" w:after="0"/>
        <w:ind w:left="899" w:right="1938" w:firstLine="400"/>
        <w:jc w:val="left"/>
        <w:rPr>
          <w:sz w:val="20"/>
        </w:rPr>
      </w:pPr>
      <w:r>
        <w:rPr>
          <w:sz w:val="20"/>
        </w:rPr>
        <w:t>whether the articles of incorporation of the issuer </w:t>
      </w:r>
      <w:r>
        <w:rPr>
          <w:spacing w:val="-6"/>
          <w:sz w:val="20"/>
        </w:rPr>
        <w:t>(or </w:t>
      </w:r>
      <w:r>
        <w:rPr>
          <w:sz w:val="20"/>
        </w:rPr>
        <w:t>equivalent organizing document) contains any charter of</w:t>
      </w:r>
      <w:r>
        <w:rPr>
          <w:spacing w:val="43"/>
          <w:sz w:val="20"/>
        </w:rPr>
        <w:t> </w:t>
      </w:r>
      <w:r>
        <w:rPr>
          <w:spacing w:val="-5"/>
          <w:sz w:val="20"/>
        </w:rPr>
        <w:t>the</w:t>
      </w:r>
    </w:p>
    <w:p>
      <w:pPr>
        <w:spacing w:after="0" w:line="204" w:lineRule="auto"/>
        <w:jc w:val="left"/>
        <w:rPr>
          <w:sz w:val="20"/>
        </w:rPr>
        <w:sectPr>
          <w:pgSz w:w="12240" w:h="15840"/>
          <w:pgMar w:header="1824" w:footer="0" w:top="2080" w:bottom="280" w:left="1720" w:right="1720"/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199" w:lineRule="auto" w:before="132"/>
        <w:ind w:left="2340" w:right="443"/>
      </w:pPr>
      <w:r>
        <w:rPr/>
        <w:t>Chinese Communist Party, including the text of any such charter.</w:t>
      </w:r>
    </w:p>
    <w:p>
      <w:pPr>
        <w:pStyle w:val="BodyText"/>
        <w:spacing w:before="208"/>
        <w:ind w:left="2140"/>
      </w:pPr>
      <w:r>
        <w:rPr/>
        <w:t>Approved December 18, 2020.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183pt,13.331778pt" to="501pt,13.331778pt" stroked="true" strokeweight=".3pt" strokecolor="#000000">
            <v:stroke dashstyle="solid"/>
            <w10:wrap type="topAndBottom"/>
          </v:line>
        </w:pict>
      </w:r>
    </w:p>
    <w:p>
      <w:pPr>
        <w:spacing w:before="2"/>
        <w:ind w:left="1940" w:right="0" w:firstLine="0"/>
        <w:jc w:val="left"/>
        <w:rPr>
          <w:sz w:val="16"/>
        </w:rPr>
      </w:pPr>
      <w:r>
        <w:rPr>
          <w:sz w:val="16"/>
          <w:u w:val="single"/>
        </w:rPr>
        <w:t>LEGISLATIVE HISTORY</w:t>
      </w:r>
      <w:r>
        <w:rPr>
          <w:sz w:val="16"/>
        </w:rPr>
        <w:t>—S. 945:</w:t>
      </w:r>
    </w:p>
    <w:p>
      <w:pPr>
        <w:spacing w:line="176" w:lineRule="exact" w:before="48"/>
        <w:ind w:left="1939" w:right="0" w:firstLine="0"/>
        <w:jc w:val="left"/>
        <w:rPr>
          <w:sz w:val="16"/>
        </w:rPr>
      </w:pPr>
      <w:r>
        <w:rPr>
          <w:sz w:val="16"/>
        </w:rPr>
        <w:t>CONGRESSIONAL RECORD, Vol. 166 (2020):</w:t>
      </w:r>
    </w:p>
    <w:p>
      <w:pPr>
        <w:spacing w:line="199" w:lineRule="auto" w:before="10"/>
        <w:ind w:left="2439" w:right="3168" w:firstLine="0"/>
        <w:jc w:val="left"/>
        <w:rPr>
          <w:sz w:val="16"/>
        </w:rPr>
      </w:pPr>
      <w:r>
        <w:rPr>
          <w:sz w:val="16"/>
        </w:rPr>
        <w:t>May 20, considered and passed Senate. Dec. 2, considered and passed House.</w:t>
      </w:r>
    </w:p>
    <w:p>
      <w:pPr>
        <w:spacing w:before="30"/>
        <w:ind w:left="1440" w:right="0" w:firstLine="0"/>
        <w:jc w:val="center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w w:val="44"/>
          <w:sz w:val="32"/>
        </w:rPr>
        <w:t>Æ</w:t>
      </w:r>
    </w:p>
    <w:sectPr>
      <w:pgSz w:w="12240" w:h="15840"/>
      <w:pgMar w:header="1824" w:footer="0" w:top="20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Schoolbook">
    <w:altName w:val="Century Schoolbook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">
    <w:altName w:val="Century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6.139801pt;margin-top:90.220001pt;width:207.7pt;height:15.15pt;mso-position-horizontal-relative:page;mso-position-vertical-relative:page;z-index:-25193164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PUBLIC LAW 116–222—DEC. 18, 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17.359985pt;margin-top:90.220001pt;width:85.7pt;height:15.15pt;mso-position-horizontal-relative:page;mso-position-vertical-relative:page;z-index:-25193062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134 STAT.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10pt;margin-top:90.220001pt;width:85.7pt;height:15.15pt;mso-position-horizontal-relative:page;mso-position-vertical-relative:page;z-index:-25192960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134 STAT.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38.139008pt;margin-top:90.220001pt;width:207.7pt;height:15.15pt;mso-position-horizontal-relative:page;mso-position-vertical-relative:page;z-index:-25192857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PUBLIC LAW 116–222—DEC. 18, 2020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1060" w:hanging="300"/>
        <w:jc w:val="right"/>
      </w:pPr>
      <w:rPr>
        <w:rFonts w:hint="default" w:ascii="Century" w:hAnsi="Century" w:eastAsia="Century" w:cs="Century"/>
        <w:w w:val="99"/>
        <w:sz w:val="20"/>
        <w:szCs w:val="20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761" w:hanging="369"/>
        <w:jc w:val="right"/>
      </w:pPr>
      <w:rPr>
        <w:rFonts w:hint="default" w:ascii="Century" w:hAnsi="Century" w:eastAsia="Century" w:cs="Century"/>
        <w:w w:val="99"/>
        <w:sz w:val="20"/>
        <w:szCs w:val="20"/>
        <w:lang w:val="en-US" w:eastAsia="en-US" w:bidi="en-US"/>
      </w:rPr>
    </w:lvl>
    <w:lvl w:ilvl="2">
      <w:start w:val="1"/>
      <w:numFmt w:val="upperLetter"/>
      <w:lvlText w:val="(%3)"/>
      <w:lvlJc w:val="left"/>
      <w:pPr>
        <w:ind w:left="1893" w:hanging="333"/>
        <w:jc w:val="right"/>
      </w:pPr>
      <w:rPr>
        <w:rFonts w:hint="default" w:ascii="Century" w:hAnsi="Century" w:eastAsia="Century" w:cs="Century"/>
        <w:w w:val="99"/>
        <w:sz w:val="20"/>
        <w:szCs w:val="20"/>
        <w:lang w:val="en-US" w:eastAsia="en-US" w:bidi="en-US"/>
      </w:rPr>
    </w:lvl>
    <w:lvl w:ilvl="3">
      <w:start w:val="1"/>
      <w:numFmt w:val="lowerRoman"/>
      <w:lvlText w:val="(%4)"/>
      <w:lvlJc w:val="left"/>
      <w:pPr>
        <w:ind w:left="1700" w:hanging="303"/>
        <w:jc w:val="left"/>
      </w:pPr>
      <w:rPr>
        <w:rFonts w:hint="default" w:ascii="Century" w:hAnsi="Century" w:eastAsia="Century" w:cs="Century"/>
        <w:spacing w:val="-5"/>
        <w:w w:val="99"/>
        <w:sz w:val="20"/>
        <w:szCs w:val="20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900" w:hanging="3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040" w:hanging="3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76" w:hanging="3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12" w:hanging="3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148" w:hanging="30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" w:hAnsi="Century" w:eastAsia="Century" w:cs="Century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entury" w:hAnsi="Century" w:eastAsia="Century" w:cs="Century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482"/>
      <w:outlineLvl w:val="1"/>
    </w:pPr>
    <w:rPr>
      <w:rFonts w:ascii="Century" w:hAnsi="Century" w:eastAsia="Century" w:cs="Century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99" w:firstLine="400"/>
      <w:jc w:val="both"/>
    </w:pPr>
    <w:rPr>
      <w:rFonts w:ascii="Century" w:hAnsi="Century" w:eastAsia="Century" w:cs="Century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PUBL222.PS</dc:title>
  <dcterms:created xsi:type="dcterms:W3CDTF">2022-06-16T07:45:59Z</dcterms:created>
  <dcterms:modified xsi:type="dcterms:W3CDTF">2022-06-16T07:45:59Z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ACOMP.exe   WinVer 2.2a  Sep 11 2014</vt:lpwstr>
  </property>
  <property fmtid="{D5CDD505-2E9C-101B-9397-08002B2CF9AE}" pid="4" name="LastSaved">
    <vt:filetime>2022-06-16T00:00:00Z</vt:filetime>
  </property>
</Properties>
</file>